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E2949" w14:textId="77777777" w:rsidR="005836B8" w:rsidRDefault="00F9764F">
      <w:pPr>
        <w:spacing w:before="200" w:after="80"/>
      </w:pPr>
      <w:r>
        <w:rPr>
          <w:b/>
          <w:bCs/>
          <w:color w:val="1F3864"/>
          <w:sz w:val="44"/>
          <w:szCs w:val="44"/>
        </w:rPr>
        <w:t>WDI 2026 Topic Scoring Criteria</w:t>
      </w:r>
    </w:p>
    <w:p w14:paraId="4899C8DD" w14:textId="77777777" w:rsidR="005836B8" w:rsidRDefault="00F9764F">
      <w:pPr>
        <w:spacing w:after="300"/>
      </w:pPr>
      <w:r>
        <w:rPr>
          <w:b/>
          <w:bCs/>
          <w:color w:val="2E75B6"/>
          <w:sz w:val="36"/>
          <w:szCs w:val="36"/>
        </w:rPr>
        <w:t>Topic 15: Employee Turnover Rates</w:t>
      </w:r>
    </w:p>
    <w:p w14:paraId="672A6659" w14:textId="77777777" w:rsidR="005836B8" w:rsidRDefault="005836B8">
      <w:pPr>
        <w:pBdr>
          <w:bottom w:val="single" w:sz="4" w:space="1" w:color="D9D9D9"/>
        </w:pBdr>
        <w:spacing w:before="240" w:after="240"/>
      </w:pPr>
    </w:p>
    <w:p w14:paraId="043D9F99" w14:textId="77777777" w:rsidR="005836B8" w:rsidRDefault="00F9764F">
      <w:pPr>
        <w:pStyle w:val="Heading1"/>
        <w:spacing w:before="360" w:after="160"/>
      </w:pPr>
      <w:r>
        <w:rPr>
          <w:b/>
          <w:bCs/>
          <w:color w:val="1F3864"/>
          <w:sz w:val="34"/>
          <w:szCs w:val="34"/>
        </w:rPr>
        <w:t>1. Topic Overview</w:t>
      </w:r>
    </w:p>
    <w:p w14:paraId="1C0DB532" w14:textId="77777777" w:rsidR="005836B8" w:rsidRDefault="00F9764F">
      <w:pPr>
        <w:spacing w:before="80" w:after="80"/>
      </w:pPr>
      <w:r>
        <w:rPr>
          <w:color w:val="1A1A1A"/>
        </w:rPr>
        <w:t>This topic assesses how transparently the company discloses employee turnover data — by type (overall, voluntary, involuntary), by gender, by contract type, and over time — and whether the company understands and can explain trends in its turnover rate and the responses it has taken or plans to take.</w:t>
      </w:r>
    </w:p>
    <w:p w14:paraId="7EBF6593" w14:textId="77777777" w:rsidR="005836B8" w:rsidRDefault="00F9764F">
      <w:pPr>
        <w:spacing w:before="80" w:after="80"/>
      </w:pPr>
      <w:r>
        <w:rPr>
          <w:color w:val="1A1A1A"/>
        </w:rPr>
        <w:t>The topic is scored using four questions: Q6.1 (turnover rates by type and gender, table with current and previous period), Q6.2 (turnover rates by contract type, table), Q6.3 (turnover trend direction and magnitude, dropdown + numeric field), and Q6.3a (drivers of change and actions taken, text 150 words). Q6.A is excluded from scoring.</w:t>
      </w:r>
    </w:p>
    <w:p w14:paraId="55F0072A" w14:textId="77777777" w:rsidR="005836B8" w:rsidRDefault="00F9764F">
      <w:pPr>
        <w:pStyle w:val="Heading2"/>
        <w:spacing w:before="280" w:after="120"/>
      </w:pPr>
      <w:r>
        <w:rPr>
          <w:b/>
          <w:bCs/>
          <w:color w:val="2E75B6"/>
        </w:rPr>
        <w:t>Critical Scoring Principle: Turnover Values Are Not Scored as Better or Worse</w:t>
      </w:r>
    </w:p>
    <w:p w14:paraId="63AFB687" w14:textId="77777777" w:rsidR="005836B8" w:rsidRDefault="00F9764F">
      <w:pPr>
        <w:spacing w:before="80" w:after="80"/>
      </w:pPr>
      <w:r>
        <w:rPr>
          <w:color w:val="1A1A1A"/>
        </w:rPr>
        <w:t>The turnover rates provided in Q6.1 and Q6.2 are NOT scored as ‘lower is better’. A company with 25% overall turnover does not score higher or lower than one with 5% — context (industry, contract type, region, economic conditions) makes the rate value impossible to benchmark fairly. What is scored is: (1) whether the data is provided at all; (2) whether it is broken down as the guidance requires (overall, voluntary, involuntary, by gender); (3) whether previous period data is included for trend comparison; and (4) whether the explanation field is used. Similarly, Q6.3’s trend direction is not scored as ‘Remained stable’ being better than ‘Increased significantly’ — any direction can be explained well or poorly.</w:t>
      </w:r>
    </w:p>
    <w:p w14:paraId="3CCEEB77" w14:textId="77777777" w:rsidR="005836B8" w:rsidRDefault="00F9764F">
      <w:pPr>
        <w:pStyle w:val="Heading2"/>
        <w:spacing w:before="280" w:after="120"/>
      </w:pPr>
      <w:r>
        <w:rPr>
          <w:b/>
          <w:bCs/>
          <w:color w:val="2E75B6"/>
        </w:rPr>
        <w:t>No Approach Dimension</w:t>
      </w:r>
    </w:p>
    <w:p w14:paraId="2E9512A5" w14:textId="77777777" w:rsidR="005836B8" w:rsidRDefault="00F9764F">
      <w:pPr>
        <w:spacing w:before="80" w:after="80"/>
      </w:pPr>
      <w:r>
        <w:rPr>
          <w:color w:val="1A1A1A"/>
        </w:rPr>
        <w:t>The 3A evidence columns confirm Approach = (none identified) across all four questions. The topic does not ask companies to describe a monitoring system or governance process for turnover — it asks for data and explanations of what happened. This is a two-dimension topic: Awareness and Action only.</w:t>
      </w:r>
    </w:p>
    <w:p w14:paraId="311460FA" w14:textId="77777777" w:rsidR="005836B8" w:rsidRDefault="00F9764F">
      <w:pPr>
        <w:pStyle w:val="Heading2"/>
        <w:spacing w:before="280" w:after="120"/>
      </w:pPr>
      <w:r>
        <w:rPr>
          <w:b/>
          <w:bCs/>
          <w:color w:val="2E75B6"/>
        </w:rPr>
        <w:t>Applicability Logic: OR-then-AND</w:t>
      </w:r>
    </w:p>
    <w:p w14:paraId="16C9AC29" w14:textId="77777777" w:rsidR="005836B8" w:rsidRDefault="00F9764F">
      <w:pPr>
        <w:spacing w:before="80" w:after="80"/>
      </w:pPr>
      <w:r>
        <w:rPr>
          <w:color w:val="1A1A1A"/>
        </w:rPr>
        <w:t>All four questions are always applicable. However, Q6.3a is primarily applicable when Q6.3 shows a change in turnover (the guidance says ‘if there is a change’). When Q6.3 = Remained broadly stable, Q6.3a becomes less mandatory — though G2 elements (comparisons with targets, other influencing factors) still apply as context. Awareness draws from Q6.3 (always) and Q6.3a recognition elements (primarily when change indicated). Action draws from Q6.1 (always), Q6.2 (always), and Q6.3a action elements (applicable when change indicated). OR logic applies at lower levels; AND logic applies at the top level.</w:t>
      </w:r>
    </w:p>
    <w:p w14:paraId="499DABAE" w14:textId="77777777" w:rsidR="005836B8" w:rsidRDefault="00F9764F">
      <w:pPr>
        <w:pStyle w:val="Heading2"/>
        <w:spacing w:before="280" w:after="120"/>
      </w:pPr>
      <w:r>
        <w:rPr>
          <w:b/>
          <w:bCs/>
          <w:color w:val="2E75B6"/>
        </w:rPr>
        <w:t>3A Dimension Mapping</w:t>
      </w:r>
    </w:p>
    <w:p w14:paraId="15C525F4" w14:textId="77777777" w:rsidR="005836B8" w:rsidRDefault="00F9764F">
      <w:pPr>
        <w:spacing w:before="80" w:after="80"/>
      </w:pPr>
      <w:r>
        <w:rPr>
          <w:color w:val="1A1A1A"/>
        </w:rPr>
        <w:t>Awareness: Q6.3 (always — the dropdown selection identifying the direction and magnitude of turnover change, plus the numeric % change field) + Q6.3a recognition elements (when change indicated — which categories of workers were most affected, geographic or business-specific trends, key reasons for the increase or decrease, comparisons with internal targets or industry averages from G2, and other influencing factors from G2 such as labour market conditions, AI/automation, just transition impacts). Action: Q6.1 (always — turnover rates by type and gender for current period, and optionally previous period) + Q6.2 (always — turnover rates by contract type) + Q6.3a action elements (when change indicated — any actions taken, underway, or planned to address the change in turnover).</w:t>
      </w:r>
    </w:p>
    <w:p w14:paraId="5D8D412B" w14:textId="77777777" w:rsidR="005836B8" w:rsidRDefault="00F9764F">
      <w:pPr>
        <w:spacing w:before="80" w:after="60"/>
      </w:pPr>
      <w:r>
        <w:rPr>
          <w:i/>
          <w:iCs/>
          <w:color w:val="666666"/>
          <w:sz w:val="17"/>
          <w:szCs w:val="17"/>
        </w:rPr>
        <w:t>Q6.A (Notes on Employee turnover rates) is excluded from scoring.</w:t>
      </w:r>
    </w:p>
    <w:p w14:paraId="0A37501D" w14:textId="77777777" w:rsidR="005836B8" w:rsidRDefault="005836B8">
      <w:pPr>
        <w:pBdr>
          <w:bottom w:val="single" w:sz="4" w:space="1" w:color="D9D9D9"/>
        </w:pBdr>
        <w:spacing w:before="240" w:after="240"/>
      </w:pPr>
    </w:p>
    <w:p w14:paraId="3736FDB2" w14:textId="77777777" w:rsidR="005836B8" w:rsidRDefault="00F9764F">
      <w:pPr>
        <w:pStyle w:val="Heading1"/>
        <w:spacing w:before="360" w:after="160"/>
      </w:pPr>
      <w:r>
        <w:rPr>
          <w:b/>
          <w:bCs/>
          <w:color w:val="1F3864"/>
          <w:sz w:val="34"/>
          <w:szCs w:val="34"/>
        </w:rPr>
        <w:t>2. Dimension Definitions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40"/>
        <w:gridCol w:w="5040"/>
      </w:tblGrid>
      <w:tr w:rsidR="005836B8" w14:paraId="35522F2F" w14:textId="77777777">
        <w:tblPrEx>
          <w:tblCellMar>
            <w:top w:w="0" w:type="dxa"/>
            <w:bottom w:w="0" w:type="dxa"/>
          </w:tblCellMar>
        </w:tblPrEx>
        <w:trPr>
          <w:tblHeader/>
        </w:trPr>
        <w:tc>
          <w:tcPr>
            <w:tcW w:w="5040" w:type="dxa"/>
            <w:tcBorders>
              <w:top w:val="single" w:sz="4" w:space="0" w:color="2E75B6"/>
              <w:left w:val="single" w:sz="1" w:space="0" w:color="CCCCCC"/>
              <w:bottom w:val="single" w:sz="4" w:space="0" w:color="2E75B6"/>
              <w:right w:val="single" w:sz="1" w:space="0" w:color="CCCCCC"/>
            </w:tcBorders>
            <w:shd w:val="clear" w:color="auto" w:fill="2E75B6"/>
            <w:tcMar>
              <w:top w:w="100" w:type="dxa"/>
              <w:left w:w="130" w:type="dxa"/>
              <w:bottom w:w="100" w:type="dxa"/>
              <w:right w:w="130" w:type="dxa"/>
            </w:tcMar>
            <w:vAlign w:val="center"/>
          </w:tcPr>
          <w:p w14:paraId="1C949072" w14:textId="77777777" w:rsidR="005836B8" w:rsidRDefault="00F9764F">
            <w:pPr>
              <w:jc w:val="center"/>
            </w:pPr>
            <w:r>
              <w:rPr>
                <w:b/>
                <w:bCs/>
                <w:color w:val="FFFFFF"/>
                <w:sz w:val="17"/>
                <w:szCs w:val="17"/>
              </w:rPr>
              <w:t>AWARENESS</w:t>
            </w:r>
          </w:p>
        </w:tc>
        <w:tc>
          <w:tcPr>
            <w:tcW w:w="5040" w:type="dxa"/>
            <w:tcBorders>
              <w:top w:val="single" w:sz="4" w:space="0" w:color="ED7D31"/>
              <w:left w:val="single" w:sz="1" w:space="0" w:color="CCCCCC"/>
              <w:bottom w:val="single" w:sz="4" w:space="0" w:color="ED7D31"/>
              <w:right w:val="single" w:sz="1" w:space="0" w:color="CCCCCC"/>
            </w:tcBorders>
            <w:shd w:val="clear" w:color="auto" w:fill="ED7D31"/>
            <w:tcMar>
              <w:top w:w="100" w:type="dxa"/>
              <w:left w:w="130" w:type="dxa"/>
              <w:bottom w:w="100" w:type="dxa"/>
              <w:right w:w="130" w:type="dxa"/>
            </w:tcMar>
            <w:vAlign w:val="center"/>
          </w:tcPr>
          <w:p w14:paraId="5F5A5520" w14:textId="77777777" w:rsidR="005836B8" w:rsidRDefault="00F9764F">
            <w:pPr>
              <w:jc w:val="center"/>
            </w:pPr>
            <w:r>
              <w:rPr>
                <w:b/>
                <w:bCs/>
                <w:color w:val="FFFFFF"/>
                <w:sz w:val="17"/>
                <w:szCs w:val="17"/>
              </w:rPr>
              <w:t>ACTION</w:t>
            </w:r>
          </w:p>
        </w:tc>
      </w:tr>
      <w:tr w:rsidR="005836B8" w14:paraId="1DFC9038" w14:textId="77777777">
        <w:tblPrEx>
          <w:tblCellMar>
            <w:top w:w="0" w:type="dxa"/>
            <w:bottom w:w="0" w:type="dxa"/>
          </w:tblCellMar>
        </w:tblPrEx>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1070DAA" w14:textId="77777777" w:rsidR="005836B8" w:rsidRDefault="00F9764F">
            <w:pPr>
              <w:spacing w:before="20" w:after="20"/>
            </w:pPr>
            <w:r>
              <w:rPr>
                <w:color w:val="1A1A1A"/>
                <w:sz w:val="18"/>
                <w:szCs w:val="18"/>
              </w:rPr>
              <w:t>Awareness is assessed from Q6.3 (always applicable) and Q6.3a’s recognition elements (primarily when Q6.3 indicates a change).  Q6.3 (always applicable): two components that together constitute the baseline turnover trend recognition: (1) the dropdown selection — one of five options (Increased significantly by more than 3%, Decreased significantly by more than 3%, Decreased moderately by 1–3%, Increased moderately by 1–3%, Remained broadly stable with change below 1%); and (2) the numeric field providing the percentage change in turnover between current and previous reporting periods. Both the direction AND the magnitude should be provided.  Q6.3a recognition elements (when Q6.3 indicates change): the guidance asks the company to describe which categories of workers were most affected (including geographic or business-specific trends) and the key reasons for the increase or decrease. G2 adds: comparisons with internal targets and/or sector/industry averages; and other influencing factors such as labour market conditions, economic pressures, AI/automation-related changes, just transition impacts, or sector-specific trends. The specificity and depth of this analysis is what differentiates Awareness scores 3 and 5.  OR and AND logic: Q6.3 dropdown + numeric field can independently reach Awareness scores 0–1. Q6.3a recognition elements combine with Q6.3 to reach scores 3 and 5. Score 5 requires AND: both Q6.3 components (dropdown + numeric) AND Q6.3a providing a substantive analysis of worker categories, drivers, and G2 context.  Primary evidence: the Q6.3 dropdown selection, the Q6.3 numeric % change field, and the depth of driver and category analysis in Q6.3a.</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DD87773" w14:textId="77777777" w:rsidR="005836B8" w:rsidRDefault="00F9764F">
            <w:pPr>
              <w:spacing w:before="20" w:after="20"/>
            </w:pPr>
            <w:r>
              <w:rPr>
                <w:color w:val="1A1A1A"/>
                <w:sz w:val="18"/>
                <w:szCs w:val="18"/>
              </w:rPr>
              <w:t>Action is assessed from Q6.1 (always applicable, primary backbone), Q6.2 (always applicable), and Q6.3a’s action elements (applicable when Q6.3 indicates change).  Q6.1 (always applicable, primary backbone): Table Q6.1 has 6 fixed rows across two periods — Current reporting period (Overall, Involuntary, Voluntary turnover) and Previous reporting period (same three categories, marked optional). For each row: Total turnover rate %, Female %, Male %, Non-binary % (leave blank if not collected), and a 300-word Explanation field for the current period. Rows cannot be edited or added. Scoring rewards: providing all three turnover types (Overall, Voluntary, Involuntary) for the current period; including gender breakdowns for each type; adding previous period data for trend comparison; and using the Explanation field to describe scope, methodology, and any assumptions.  Q6.2 (always applicable): Two fixed rows (Indefinite/permanent employees, Fixed-term/temporary contract employees). Single % column. Companies should state ‘n/a’ if they have no employees on a contract type. Scoring rewards whether both contract types are addressed (with data or a confirmed n/a).  Q6.3a action elements (when change indicated): any actions taken, underway, or planned to address the change in turnover (such as workforce planning changes, retention measures, augmented training/upskilling, or other steps). These are concrete implemented or in-progress measures in response to the identified turnover trend.  OR and AND logic: lower scores are reached via Q6.1 alone (OR). Score 5 requires AND: Q6.1 fully complete (all three types, gender breakdowns, previous period) AND Q6.2 addressed AND Q6.3a action description present where change was indicated.  Primary evidence: completeness of Q6.1 current period (three turnover types + gender), previous period inclusion, Q6.2 by-contract-type data, and Q6.3a action specificity.</w:t>
            </w:r>
          </w:p>
        </w:tc>
      </w:tr>
    </w:tbl>
    <w:p w14:paraId="5DAB6C7B" w14:textId="77777777" w:rsidR="005836B8" w:rsidRDefault="005836B8">
      <w:pPr>
        <w:pBdr>
          <w:bottom w:val="single" w:sz="4" w:space="1" w:color="D9D9D9"/>
        </w:pBdr>
        <w:spacing w:before="240" w:after="240"/>
      </w:pPr>
    </w:p>
    <w:p w14:paraId="6E9172E9" w14:textId="77777777" w:rsidR="005836B8" w:rsidRDefault="00F9764F">
      <w:pPr>
        <w:pStyle w:val="Heading1"/>
        <w:spacing w:before="360" w:after="160"/>
      </w:pPr>
      <w:r>
        <w:rPr>
          <w:b/>
          <w:bCs/>
          <w:color w:val="1F3864"/>
          <w:sz w:val="34"/>
          <w:szCs w:val="34"/>
        </w:rPr>
        <w:t>3. Scoring Rubric — All Dimensions</w:t>
      </w:r>
    </w:p>
    <w:p w14:paraId="3CA40118" w14:textId="77777777" w:rsidR="005836B8" w:rsidRDefault="00F9764F">
      <w:pPr>
        <w:spacing w:before="80" w:after="60"/>
      </w:pPr>
      <w:r>
        <w:rPr>
          <w:i/>
          <w:iCs/>
          <w:color w:val="666666"/>
          <w:sz w:val="17"/>
          <w:szCs w:val="17"/>
        </w:rPr>
        <w:t>Awareness uses 0,1,3,5. Action uses 0,1,2,3,5. OR and AND logic explicitly stated at every level. Turnover rate values are not scored as higher or lower being better — disclosure completeness and trend understanding are what differentiate scores. There is no Approach dimension for this topic.</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0"/>
        <w:gridCol w:w="1197"/>
        <w:gridCol w:w="677"/>
        <w:gridCol w:w="1193"/>
        <w:gridCol w:w="3668"/>
        <w:gridCol w:w="2685"/>
      </w:tblGrid>
      <w:tr w:rsidR="005836B8" w14:paraId="09CC2D0F" w14:textId="77777777" w:rsidTr="5425D2EB">
        <w:tblPrEx>
          <w:tblCellMar>
            <w:top w:w="0" w:type="dxa"/>
            <w:bottom w:w="0" w:type="dxa"/>
          </w:tblCellMar>
        </w:tblPrEx>
        <w:trPr>
          <w:tblHeader/>
        </w:trPr>
        <w:tc>
          <w:tcPr>
            <w:tcW w:w="6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D9C4B6C" w14:textId="77777777" w:rsidR="005836B8" w:rsidRDefault="00F9764F">
            <w:pPr>
              <w:jc w:val="center"/>
            </w:pPr>
            <w:r>
              <w:rPr>
                <w:b/>
                <w:bCs/>
                <w:color w:val="FFFFFF"/>
                <w:sz w:val="15"/>
                <w:szCs w:val="15"/>
              </w:rPr>
              <w:t>Topic ID</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80B4345" w14:textId="77777777" w:rsidR="005836B8" w:rsidRDefault="00F9764F">
            <w:pPr>
              <w:jc w:val="center"/>
            </w:pPr>
            <w:r>
              <w:rPr>
                <w:b/>
                <w:bCs/>
                <w:color w:val="FFFFFF"/>
                <w:sz w:val="15"/>
                <w:szCs w:val="15"/>
              </w:rPr>
              <w:t>Dimension</w:t>
            </w:r>
          </w:p>
        </w:tc>
        <w:tc>
          <w:tcPr>
            <w:tcW w:w="5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57C3913" w14:textId="77777777" w:rsidR="005836B8" w:rsidRDefault="00F9764F">
            <w:pPr>
              <w:jc w:val="center"/>
            </w:pPr>
            <w:r>
              <w:rPr>
                <w:b/>
                <w:bCs/>
                <w:color w:val="FFFFFF"/>
                <w:sz w:val="15"/>
                <w:szCs w:val="15"/>
              </w:rPr>
              <w:t>Score</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CFFFD6B" w14:textId="77777777" w:rsidR="005836B8" w:rsidRDefault="00F9764F">
            <w:pPr>
              <w:jc w:val="center"/>
            </w:pPr>
            <w:r>
              <w:rPr>
                <w:b/>
                <w:bCs/>
                <w:color w:val="FFFFFF"/>
                <w:sz w:val="15"/>
                <w:szCs w:val="15"/>
              </w:rPr>
              <w:t>Level</w:t>
            </w:r>
          </w:p>
        </w:tc>
        <w:tc>
          <w:tcPr>
            <w:tcW w:w="38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0206BBB" w14:textId="77777777" w:rsidR="005836B8" w:rsidRDefault="00F9764F">
            <w:pPr>
              <w:jc w:val="center"/>
            </w:pPr>
            <w:r>
              <w:rPr>
                <w:b/>
                <w:bCs/>
                <w:color w:val="FFFFFF"/>
                <w:sz w:val="15"/>
                <w:szCs w:val="15"/>
              </w:rPr>
              <w:t>Scoring Criteria</w:t>
            </w:r>
          </w:p>
        </w:tc>
        <w:tc>
          <w:tcPr>
            <w:tcW w:w="278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7A0B591" w14:textId="77777777" w:rsidR="005836B8" w:rsidRDefault="00F9764F">
            <w:pPr>
              <w:jc w:val="center"/>
            </w:pPr>
            <w:r>
              <w:rPr>
                <w:b/>
                <w:bCs/>
                <w:color w:val="FFFFFF"/>
                <w:sz w:val="15"/>
                <w:szCs w:val="15"/>
              </w:rPr>
              <w:t>Next Step</w:t>
            </w:r>
          </w:p>
        </w:tc>
      </w:tr>
      <w:tr w:rsidR="005836B8" w14:paraId="5894C9E0" w14:textId="77777777" w:rsidTr="5425D2EB">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33CFEC6B" w14:textId="77777777" w:rsidR="005836B8" w:rsidRDefault="00F9764F">
            <w:pPr>
              <w:spacing w:before="20" w:after="20"/>
              <w:jc w:val="center"/>
            </w:pPr>
            <w:r>
              <w:rPr>
                <w:b/>
                <w:bCs/>
                <w:color w:val="1A1A1A"/>
                <w:sz w:val="17"/>
                <w:szCs w:val="17"/>
              </w:rPr>
              <w:t>15</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C5C7718" w14:textId="77777777" w:rsidR="005836B8" w:rsidRDefault="00F9764F">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B584315" w14:textId="77777777" w:rsidR="005836B8" w:rsidRDefault="00F9764F">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29694CB0" w14:textId="77777777" w:rsidR="005836B8" w:rsidRDefault="00F9764F">
            <w:pPr>
              <w:spacing w:before="20" w:after="20"/>
            </w:pPr>
            <w:r>
              <w:rPr>
                <w:i/>
                <w:iCs/>
                <w:color w:val="1A1A1A"/>
                <w:sz w:val="17"/>
                <w:szCs w:val="17"/>
              </w:rPr>
              <w:t>No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C1532B9" w14:textId="77777777" w:rsidR="005836B8" w:rsidRDefault="5425D2EB">
            <w:pPr>
              <w:spacing w:before="20" w:after="20"/>
            </w:pPr>
            <w:r w:rsidRPr="5425D2EB">
              <w:rPr>
                <w:color w:val="1A1A1A"/>
                <w:sz w:val="18"/>
                <w:szCs w:val="18"/>
              </w:rPr>
              <w:t>AND across both sources: Q6.3 is completely blank — no dropdown selection and no numeric change figure. AND Q6.3a is blank. The company provides no recognition of the turnover trend during the reporting period.</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1711107" w14:textId="77777777" w:rsidR="005836B8" w:rsidRDefault="5425D2EB">
            <w:pPr>
              <w:spacing w:before="20" w:after="20"/>
            </w:pPr>
            <w:r w:rsidRPr="5425D2EB">
              <w:rPr>
                <w:i/>
                <w:iCs/>
                <w:color w:val="1A1A1A"/>
                <w:sz w:val="17"/>
                <w:szCs w:val="17"/>
              </w:rPr>
              <w:t>Select the option in Q6.3 that best describes how workforce turnover changed during the reporting period and provide the numeric percentage change. Even selecting ‘Remained broadly stable’ demonstrates trend recognition.</w:t>
            </w:r>
          </w:p>
        </w:tc>
      </w:tr>
      <w:tr w:rsidR="005836B8" w14:paraId="190E04AF" w14:textId="77777777" w:rsidTr="5425D2EB">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23D4B9D" w14:textId="77777777" w:rsidR="005836B8" w:rsidRDefault="00F9764F">
            <w:pPr>
              <w:spacing w:before="20" w:after="20"/>
              <w:jc w:val="center"/>
            </w:pPr>
            <w:r>
              <w:rPr>
                <w:b/>
                <w:bCs/>
                <w:color w:val="1A1A1A"/>
                <w:sz w:val="17"/>
                <w:szCs w:val="17"/>
              </w:rPr>
              <w:t>15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77EFA5F" w14:textId="77777777" w:rsidR="005836B8" w:rsidRDefault="00F9764F">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9841BE" w14:textId="77777777" w:rsidR="005836B8" w:rsidRDefault="00F9764F">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D1ACE9D" w14:textId="77777777" w:rsidR="005836B8" w:rsidRDefault="00F9764F">
            <w:pPr>
              <w:spacing w:before="20" w:after="20"/>
            </w:pPr>
            <w:r>
              <w:rPr>
                <w:i/>
                <w:iCs/>
                <w:color w:val="1A1A1A"/>
                <w:sz w:val="17"/>
                <w:szCs w:val="17"/>
              </w:rPr>
              <w:t>Minimal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12F3DB2C" w14:textId="77777777" w:rsidR="005836B8" w:rsidRDefault="5425D2EB">
            <w:pPr>
              <w:spacing w:before="20" w:after="20"/>
            </w:pPr>
            <w:r w:rsidRPr="5425D2EB">
              <w:rPr>
                <w:color w:val="1A1A1A"/>
                <w:sz w:val="18"/>
                <w:szCs w:val="18"/>
              </w:rPr>
              <w:t>OR across sources: Q6.3 has a dropdown selection but the numeric % change field is blank; OR Q6.3 has both dropdown and numeric field completed but Q6.3a is blank or provides only a one-line statement without identifying which worker categories were affected or the key drivers. The company recognises the trend direction but has not characterised it with specificity.</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CCB5E6C" w14:textId="77777777" w:rsidR="005836B8" w:rsidRDefault="5425D2EB">
            <w:pPr>
              <w:spacing w:before="20" w:after="20"/>
            </w:pPr>
            <w:r w:rsidRPr="5425D2EB">
              <w:rPr>
                <w:i/>
                <w:iCs/>
                <w:color w:val="1A1A1A"/>
                <w:sz w:val="17"/>
                <w:szCs w:val="17"/>
              </w:rPr>
              <w:t>Complete BOTH the Q6.3 dropdown AND the numeric % change field — both are required together for baseline trend recognition. In Q6.3a (if change is indicated), describe which categories of workers were most affected and the key reasons for the change.</w:t>
            </w:r>
          </w:p>
        </w:tc>
      </w:tr>
      <w:tr w:rsidR="005836B8" w14:paraId="576AF432" w14:textId="77777777" w:rsidTr="5425D2EB">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C2A823A" w14:textId="77777777" w:rsidR="005836B8" w:rsidRDefault="00F9764F">
            <w:pPr>
              <w:spacing w:before="20" w:after="20"/>
              <w:jc w:val="center"/>
            </w:pPr>
            <w:r>
              <w:rPr>
                <w:b/>
                <w:bCs/>
                <w:color w:val="1A1A1A"/>
                <w:sz w:val="17"/>
                <w:szCs w:val="17"/>
              </w:rPr>
              <w:t>15</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2A88A0A8" w14:textId="77777777" w:rsidR="005836B8" w:rsidRDefault="00F9764F">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FCD5EC4" w14:textId="77777777" w:rsidR="005836B8" w:rsidRDefault="00F9764F">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ABDA75E" w14:textId="77777777" w:rsidR="005836B8" w:rsidRDefault="00F9764F">
            <w:pPr>
              <w:spacing w:before="20" w:after="20"/>
            </w:pPr>
            <w:r>
              <w:rPr>
                <w:i/>
                <w:iCs/>
                <w:color w:val="1A1A1A"/>
                <w:sz w:val="17"/>
                <w:szCs w:val="17"/>
              </w:rPr>
              <w:t>Adequate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731D406" w14:textId="77777777" w:rsidR="005836B8" w:rsidRDefault="5425D2EB">
            <w:pPr>
              <w:spacing w:before="20" w:after="20"/>
            </w:pPr>
            <w:r w:rsidRPr="5425D2EB">
              <w:rPr>
                <w:color w:val="1A1A1A"/>
                <w:sz w:val="18"/>
                <w:szCs w:val="18"/>
              </w:rPr>
              <w:t>OR across sources, AND within Q6.3: Q6.3 has BOTH the dropdown selection AND the numeric % change field completed. AND: Q6.3a (where Q6.3 indicates change) describes which categories of workers were most affected (with at least some specificity — naming contract type, gender, geography, or business unit) AND provides at least a basic explanation of the key reasons for the change. G2 comparisons with targets or sector averages may be absent at this level.</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DF49814" w14:textId="77777777" w:rsidR="005836B8" w:rsidRDefault="5425D2EB">
            <w:pPr>
              <w:spacing w:before="20" w:after="20"/>
            </w:pPr>
            <w:r w:rsidRPr="5425D2EB">
              <w:rPr>
                <w:i/>
                <w:iCs/>
                <w:color w:val="1A1A1A"/>
                <w:sz w:val="17"/>
                <w:szCs w:val="17"/>
              </w:rPr>
              <w:t>Deepen the Q6.3a analysis to reach score 5: add comparisons with internal targets and/or sector or industry averages (G2 evidence), and describe any other relevant influencing factors such as labour market conditions, AI/automation impacts, just transition dynamics, or sector-specific trends.</w:t>
            </w:r>
          </w:p>
        </w:tc>
      </w:tr>
      <w:tr w:rsidR="005836B8" w14:paraId="2E85C93E" w14:textId="77777777" w:rsidTr="5425D2EB">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1150DF2" w14:textId="77777777" w:rsidR="005836B8" w:rsidRDefault="00F9764F">
            <w:pPr>
              <w:spacing w:before="20" w:after="20"/>
              <w:jc w:val="center"/>
            </w:pPr>
            <w:r>
              <w:rPr>
                <w:b/>
                <w:bCs/>
                <w:color w:val="1A1A1A"/>
                <w:sz w:val="17"/>
                <w:szCs w:val="17"/>
              </w:rPr>
              <w:t>15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EC1074F" w14:textId="77777777" w:rsidR="005836B8" w:rsidRDefault="00F9764F">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8941E47" w14:textId="77777777" w:rsidR="005836B8" w:rsidRDefault="00F9764F">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F7E2F96" w14:textId="77777777" w:rsidR="005836B8" w:rsidRDefault="00F9764F">
            <w:pPr>
              <w:spacing w:before="20" w:after="20"/>
            </w:pPr>
            <w:r>
              <w:rPr>
                <w:i/>
                <w:iCs/>
                <w:color w:val="1A1A1A"/>
                <w:sz w:val="17"/>
                <w:szCs w:val="17"/>
              </w:rPr>
              <w:t>Leading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05340837" w14:textId="77777777" w:rsidR="005836B8" w:rsidRDefault="5425D2EB">
            <w:pPr>
              <w:spacing w:before="20" w:after="20"/>
            </w:pPr>
            <w:r w:rsidRPr="5425D2EB">
              <w:rPr>
                <w:color w:val="1A1A1A"/>
                <w:sz w:val="18"/>
                <w:szCs w:val="18"/>
              </w:rPr>
              <w:t>AND across both sources: Q6.3 has both the dropdown selection AND the numeric % change field completed. AND Q6.3a provides a substantive analysis covering: (1) which specific categories of workers were most affected, including any geographic or business-specific trends; (2) the key reasons for the change in turnover; AND at least one of the G2 elements: (3) comparisons with internal targets and/or sector or industry averages; OR (4) other influencing factors such as labour market conditions, economic pressures, AI/automation-related workforce changes, just transition impacts, climate-related disruption, or sector-specific trends. The analysis demonstrates the company understands why turnover changed, not just that it changed.</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2D71247D" w14:textId="77777777" w:rsidR="005836B8" w:rsidRDefault="5425D2EB">
            <w:pPr>
              <w:spacing w:before="20" w:after="20"/>
            </w:pPr>
            <w:r w:rsidRPr="5425D2EB">
              <w:rPr>
                <w:i/>
                <w:iCs/>
                <w:color w:val="1A1A1A"/>
                <w:sz w:val="17"/>
                <w:szCs w:val="17"/>
              </w:rPr>
              <w:t>Highest level achieved. Maintain this depth of turnover trend analysis annually and ensure Q6.3a is updated with current-period drivers and contextual factors.</w:t>
            </w:r>
          </w:p>
        </w:tc>
      </w:tr>
      <w:tr w:rsidR="005836B8" w14:paraId="46775B27" w14:textId="77777777" w:rsidTr="5425D2EB">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6BB2669" w14:textId="77777777" w:rsidR="005836B8" w:rsidRDefault="00F9764F">
            <w:pPr>
              <w:spacing w:before="20" w:after="20"/>
              <w:jc w:val="center"/>
            </w:pPr>
            <w:r>
              <w:rPr>
                <w:b/>
                <w:bCs/>
                <w:color w:val="1A1A1A"/>
                <w:sz w:val="17"/>
                <w:szCs w:val="17"/>
              </w:rPr>
              <w:t>15</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CE446E2" w14:textId="77777777" w:rsidR="005836B8" w:rsidRDefault="00F9764F">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2322F001" w14:textId="77777777" w:rsidR="005836B8" w:rsidRDefault="00F9764F">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049904B" w14:textId="77777777" w:rsidR="005836B8" w:rsidRDefault="00F9764F">
            <w:pPr>
              <w:spacing w:before="20" w:after="20"/>
            </w:pPr>
            <w:r>
              <w:rPr>
                <w:i/>
                <w:iCs/>
                <w:color w:val="1A1A1A"/>
                <w:sz w:val="17"/>
                <w:szCs w:val="17"/>
              </w:rPr>
              <w:t>No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0583509" w14:textId="77777777" w:rsidR="005836B8" w:rsidRDefault="5425D2EB">
            <w:pPr>
              <w:spacing w:before="20" w:after="20"/>
            </w:pPr>
            <w:r w:rsidRPr="5425D2EB">
              <w:rPr>
                <w:color w:val="1A1A1A"/>
                <w:sz w:val="18"/>
                <w:szCs w:val="18"/>
              </w:rPr>
              <w:t>AND across all sources: Q6.1 is entirely blank for all rows and periods (no turnover rate data for any category or gender). Q6.2 is blank (no contract type rates, no n/a stated). Q6.3a has no action description (where applicable). The company provides no quantitative turnover evidence of any kind.</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4FDB2DF" w14:textId="77777777" w:rsidR="005836B8" w:rsidRDefault="00F9764F">
            <w:pPr>
              <w:spacing w:before="20" w:after="20"/>
            </w:pPr>
            <w:r>
              <w:rPr>
                <w:i/>
                <w:iCs/>
                <w:color w:val="1A1A1A"/>
                <w:sz w:val="17"/>
                <w:szCs w:val="17"/>
              </w:rPr>
              <w:t>Provide at least the Overall turnover rate for the current reporting period in Q6.1 (the Total % column) as the minimum starting point. Even a single figure begins the disclosure.</w:t>
            </w:r>
          </w:p>
        </w:tc>
      </w:tr>
      <w:tr w:rsidR="005836B8" w14:paraId="093AED02" w14:textId="77777777" w:rsidTr="5425D2EB">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2E3969C" w14:textId="77777777" w:rsidR="005836B8" w:rsidRDefault="00F9764F">
            <w:pPr>
              <w:spacing w:before="20" w:after="20"/>
              <w:jc w:val="center"/>
            </w:pPr>
            <w:r>
              <w:rPr>
                <w:b/>
                <w:bCs/>
                <w:color w:val="1A1A1A"/>
                <w:sz w:val="17"/>
                <w:szCs w:val="17"/>
              </w:rPr>
              <w:t>15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DEDCF4F" w14:textId="77777777" w:rsidR="005836B8" w:rsidRDefault="00F9764F">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6B20A0C" w14:textId="77777777" w:rsidR="005836B8" w:rsidRDefault="00F9764F">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C4D92A4" w14:textId="77777777" w:rsidR="005836B8" w:rsidRDefault="00F9764F">
            <w:pPr>
              <w:spacing w:before="20" w:after="20"/>
            </w:pPr>
            <w:r>
              <w:rPr>
                <w:i/>
                <w:iCs/>
                <w:color w:val="1A1A1A"/>
                <w:sz w:val="17"/>
                <w:szCs w:val="17"/>
              </w:rPr>
              <w:t>Minimal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0BAFF4D" w14:textId="77777777" w:rsidR="005836B8" w:rsidRDefault="00F9764F">
            <w:pPr>
              <w:spacing w:before="20" w:after="20"/>
            </w:pPr>
            <w:r>
              <w:rPr>
                <w:color w:val="1A1A1A"/>
                <w:sz w:val="18"/>
                <w:szCs w:val="18"/>
              </w:rPr>
              <w:t>OR across sources: Q6.1 has at least one turnover rate provided (e.g., Overall turnover total % for current period only), but the voluntary/involuntary breakdown and gender breakdown are absent; OR Q6.2 provides at least one contract type rate. The data is too incomplete to give a meaningful picture of turnover composition.</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09D8CA48" w14:textId="77777777" w:rsidR="005836B8" w:rsidRDefault="5425D2EB">
            <w:pPr>
              <w:spacing w:before="20" w:after="20"/>
            </w:pPr>
            <w:r w:rsidRPr="5425D2EB">
              <w:rPr>
                <w:i/>
                <w:iCs/>
                <w:color w:val="1A1A1A"/>
                <w:sz w:val="17"/>
                <w:szCs w:val="17"/>
              </w:rPr>
              <w:t>In Q6.1, provide ALL THREE turnover types (Overall, Involuntary, Voluntary) for the current reporting period with at minimum Female and Male percentages for each. Add Q6.2 if not already done.</w:t>
            </w:r>
          </w:p>
        </w:tc>
      </w:tr>
      <w:tr w:rsidR="005836B8" w14:paraId="658C57CB" w14:textId="77777777" w:rsidTr="5425D2EB">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1090324" w14:textId="77777777" w:rsidR="005836B8" w:rsidRDefault="00F9764F">
            <w:pPr>
              <w:spacing w:before="20" w:after="20"/>
              <w:jc w:val="center"/>
            </w:pPr>
            <w:r>
              <w:rPr>
                <w:b/>
                <w:bCs/>
                <w:color w:val="1A1A1A"/>
                <w:sz w:val="17"/>
                <w:szCs w:val="17"/>
              </w:rPr>
              <w:t>15</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60DA689" w14:textId="77777777" w:rsidR="005836B8" w:rsidRDefault="00F9764F">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18F999B5" w14:textId="77777777" w:rsidR="005836B8" w:rsidRDefault="00F9764F">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60C62899" w14:textId="77777777" w:rsidR="005836B8" w:rsidRDefault="00F9764F">
            <w:pPr>
              <w:spacing w:before="20" w:after="20"/>
            </w:pPr>
            <w:r>
              <w:rPr>
                <w:i/>
                <w:iCs/>
                <w:color w:val="1A1A1A"/>
                <w:sz w:val="17"/>
                <w:szCs w:val="17"/>
              </w:rPr>
              <w:t>Basic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58B4725" w14:textId="77777777" w:rsidR="005836B8" w:rsidRDefault="5425D2EB">
            <w:pPr>
              <w:spacing w:before="20" w:after="20"/>
            </w:pPr>
            <w:r w:rsidRPr="5425D2EB">
              <w:rPr>
                <w:color w:val="1A1A1A"/>
                <w:sz w:val="18"/>
                <w:szCs w:val="18"/>
              </w:rPr>
              <w:t>OR across sources: Q6.1 provides current period data for most turnover types (2 of 3 — e.g., Overall and Voluntary but not Involuntary) with some gender breakdown for at least Overall turnover; OR Q6.1 provides all three turnover types with total % but no gender breakdown. Q6.2 may be partially provided (one contract type, or both without n/a clarification). Previous period data is absent. Q6.3a action description may be absent or very brief.</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58F7338" w14:textId="77777777" w:rsidR="005836B8" w:rsidRDefault="5425D2EB">
            <w:pPr>
              <w:spacing w:before="20" w:after="20"/>
            </w:pPr>
            <w:r w:rsidRPr="5425D2EB">
              <w:rPr>
                <w:i/>
                <w:iCs/>
                <w:color w:val="1A1A1A"/>
                <w:sz w:val="17"/>
                <w:szCs w:val="17"/>
              </w:rPr>
              <w:t>Ensure Q6.1 covers all THREE turnover types (Overall, Involuntary, Voluntary) with Female and Male percentages for each in the current reporting period. Address Q6.2 for both contract types. Add previous period data to enable trend comparison.</w:t>
            </w:r>
          </w:p>
        </w:tc>
      </w:tr>
      <w:tr w:rsidR="005836B8" w14:paraId="621B8732" w14:textId="77777777" w:rsidTr="5425D2EB">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7D23D5B" w14:textId="77777777" w:rsidR="005836B8" w:rsidRDefault="00F9764F">
            <w:pPr>
              <w:spacing w:before="20" w:after="20"/>
              <w:jc w:val="center"/>
            </w:pPr>
            <w:r>
              <w:rPr>
                <w:b/>
                <w:bCs/>
                <w:color w:val="1A1A1A"/>
                <w:sz w:val="17"/>
                <w:szCs w:val="17"/>
              </w:rPr>
              <w:t>15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FA48F0" w14:textId="77777777" w:rsidR="005836B8" w:rsidRDefault="00F9764F">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B778152" w14:textId="77777777" w:rsidR="005836B8" w:rsidRDefault="00F9764F">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41656D2" w14:textId="77777777" w:rsidR="005836B8" w:rsidRDefault="00F9764F">
            <w:pPr>
              <w:spacing w:before="20" w:after="20"/>
            </w:pPr>
            <w:r>
              <w:rPr>
                <w:i/>
                <w:iCs/>
                <w:color w:val="1A1A1A"/>
                <w:sz w:val="17"/>
                <w:szCs w:val="17"/>
              </w:rPr>
              <w:t>Adequate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204476C0" w14:textId="77777777" w:rsidR="005836B8" w:rsidRDefault="5425D2EB">
            <w:pPr>
              <w:spacing w:before="20" w:after="20"/>
            </w:pPr>
            <w:r w:rsidRPr="5425D2EB">
              <w:rPr>
                <w:color w:val="1A1A1A"/>
                <w:sz w:val="18"/>
                <w:szCs w:val="18"/>
              </w:rPr>
              <w:t>OR across sources, AND within Q6.1 current period: Q6.1 current period is substantially complete — all three turnover types (Overall, Involuntary, Voluntary) have both Total % AND at minimum Female and Male gender breakdowns. AND Q6.2 addresses both contract type rows (with a rate or a confirmed n/a for each). Previous period data may be absent or partial. Q6.3a action description (where change indicated) may be present but thin. Completeness of the current period Q6.1 data is the primary threshold for this level.</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A854187" w14:textId="77777777" w:rsidR="005836B8" w:rsidRDefault="5425D2EB">
            <w:pPr>
              <w:spacing w:before="20" w:after="20"/>
            </w:pPr>
            <w:r w:rsidRPr="5425D2EB">
              <w:rPr>
                <w:i/>
                <w:iCs/>
                <w:color w:val="1A1A1A"/>
                <w:sz w:val="17"/>
                <w:szCs w:val="17"/>
              </w:rPr>
              <w:t>Add previous period data to Q6.1 (all three turnover types with gender breakdowns) to enable year-on-year trend comparison. Provide Q6.3a with at least one concrete action taken or planned in response to the turnover trend, where a change was indicated in Q6.3.</w:t>
            </w:r>
          </w:p>
        </w:tc>
      </w:tr>
      <w:tr w:rsidR="005836B8" w14:paraId="41B12651" w14:textId="77777777" w:rsidTr="5425D2EB">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2E56BDFE" w14:textId="77777777" w:rsidR="005836B8" w:rsidRDefault="00F9764F">
            <w:pPr>
              <w:spacing w:before="20" w:after="20"/>
              <w:jc w:val="center"/>
            </w:pPr>
            <w:r>
              <w:rPr>
                <w:b/>
                <w:bCs/>
                <w:color w:val="1A1A1A"/>
                <w:sz w:val="17"/>
                <w:szCs w:val="17"/>
              </w:rPr>
              <w:t>15</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2F06B1F4" w14:textId="77777777" w:rsidR="005836B8" w:rsidRDefault="00F9764F">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4240AAE" w14:textId="77777777" w:rsidR="005836B8" w:rsidRDefault="00F9764F">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1A041FF9" w14:textId="77777777" w:rsidR="005836B8" w:rsidRDefault="00F9764F">
            <w:pPr>
              <w:spacing w:before="20" w:after="20"/>
            </w:pPr>
            <w:r>
              <w:rPr>
                <w:i/>
                <w:iCs/>
                <w:color w:val="1A1A1A"/>
                <w:sz w:val="17"/>
                <w:szCs w:val="17"/>
              </w:rPr>
              <w:t>Leading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8E0F32F" w14:textId="77777777" w:rsidR="005836B8" w:rsidRDefault="5425D2EB">
            <w:pPr>
              <w:spacing w:before="20" w:after="20"/>
            </w:pPr>
            <w:r w:rsidRPr="5425D2EB">
              <w:rPr>
                <w:color w:val="1A1A1A"/>
                <w:sz w:val="18"/>
                <w:szCs w:val="18"/>
              </w:rPr>
              <w:t>AND across all sources: Q6.1 must have all three turnover types (Overall, Involuntary, Voluntary) with Total %, Female %, and Male % for BOTH the current reporting period AND the previous reporting period. The Explanation field in Q6.1 is used to describe scope, methodology, and any relevant assumptions. Q6.2 must address both contract type rows with a rate or a confirmed n/a for each. If Q6.3 indicates a change in turnover: Q6.3a must describe at least one specific action taken, underway, or planned in response to the change, naming the type of action (e.g., retention measures, workforce planning changes, training/upskilling). A company that meets Q6.1 and Q6.2 requirements but has Q6.3 indicating a change without any Q6.3a action description cannot reach this level.</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EB42532" w14:textId="77777777" w:rsidR="005836B8" w:rsidRDefault="5425D2EB">
            <w:pPr>
              <w:spacing w:before="20" w:after="20"/>
            </w:pPr>
            <w:r w:rsidRPr="5425D2EB">
              <w:rPr>
                <w:i/>
                <w:iCs/>
                <w:color w:val="1A1A1A"/>
                <w:sz w:val="17"/>
                <w:szCs w:val="17"/>
              </w:rPr>
              <w:t>Highest level achieved. Maintain comprehensive turnover data disclosure and continue providing previous period comparatives annually.</w:t>
            </w:r>
          </w:p>
        </w:tc>
      </w:tr>
    </w:tbl>
    <w:p w14:paraId="02EB378F" w14:textId="77777777" w:rsidR="005836B8" w:rsidRDefault="005836B8">
      <w:pPr>
        <w:pBdr>
          <w:bottom w:val="single" w:sz="4" w:space="1" w:color="D9D9D9"/>
        </w:pBdr>
        <w:spacing w:before="240" w:after="240"/>
      </w:pPr>
    </w:p>
    <w:p w14:paraId="0BD2FA26" w14:textId="77777777" w:rsidR="005836B8" w:rsidRDefault="00F9764F">
      <w:pPr>
        <w:pStyle w:val="Heading1"/>
        <w:spacing w:before="360" w:after="160"/>
      </w:pPr>
      <w:r>
        <w:rPr>
          <w:b/>
          <w:bCs/>
          <w:color w:val="1F3864"/>
          <w:sz w:val="34"/>
          <w:szCs w:val="34"/>
        </w:rPr>
        <w:t>4. Score Calculation</w:t>
      </w:r>
    </w:p>
    <w:p w14:paraId="3F1B5ACC" w14:textId="77777777" w:rsidR="005836B8" w:rsidRDefault="00F9764F">
      <w:pPr>
        <w:spacing w:before="80" w:after="80"/>
      </w:pPr>
      <w:r>
        <w:rPr>
          <w:color w:val="1A1A1A"/>
        </w:rPr>
        <w:t>Once Awareness and Action sub-scores are assigned, the composite topic score is calculated using equal weighting across the two dimensions.</w:t>
      </w:r>
    </w:p>
    <w:p w14:paraId="65FFD978" w14:textId="77777777" w:rsidR="005836B8" w:rsidRDefault="5425D2EB">
      <w:pPr>
        <w:pStyle w:val="Heading2"/>
        <w:spacing w:before="280" w:after="120"/>
      </w:pPr>
      <w:r w:rsidRPr="5425D2EB">
        <w:rPr>
          <w:b/>
          <w:bCs/>
          <w:color w:val="2E75B6"/>
        </w:rPr>
        <w:t>4.1  Formulas</w:t>
      </w:r>
    </w:p>
    <w:p w14:paraId="6E6B1DA9" w14:textId="77777777" w:rsidR="005836B8" w:rsidRDefault="5425D2EB" w:rsidP="5425D2EB">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sidRPr="5425D2EB">
        <w:rPr>
          <w:rFonts w:ascii="Courier New" w:eastAsia="Courier New" w:hAnsi="Courier New" w:cs="Courier New"/>
          <w:b/>
          <w:bCs/>
          <w:color w:val="1F3864"/>
        </w:rPr>
        <w:t>Composite (0–5)   =   (Awareness  +  Action)  ÷  2</w:t>
      </w:r>
    </w:p>
    <w:p w14:paraId="3FCA8DB3" w14:textId="77777777" w:rsidR="005836B8" w:rsidRDefault="5425D2EB" w:rsidP="5425D2EB">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sidRPr="5425D2EB">
        <w:rPr>
          <w:rFonts w:ascii="Courier New" w:eastAsia="Courier New" w:hAnsi="Courier New" w:cs="Courier New"/>
          <w:b/>
          <w:bCs/>
          <w:color w:val="1F3864"/>
        </w:rPr>
        <w:t>Topic Score (0–100)   =   Composite (0–5)  ×  20</w:t>
      </w:r>
    </w:p>
    <w:p w14:paraId="00DCB1AB" w14:textId="77777777" w:rsidR="005836B8" w:rsidRDefault="00F9764F">
      <w:pPr>
        <w:spacing w:before="80" w:after="60"/>
      </w:pPr>
      <w:r>
        <w:rPr>
          <w:i/>
          <w:iCs/>
          <w:color w:val="666666"/>
          <w:sz w:val="17"/>
          <w:szCs w:val="17"/>
        </w:rPr>
        <w:t>All reported topic scores are on the 0–100 scale. Each dimension carries equal weight (50%). There is no Approach dimension for this topic. Turnover rate values are not scored as better or worse regardless of direction or magnitude.</w:t>
      </w:r>
    </w:p>
    <w:p w14:paraId="71DEDFB3" w14:textId="77777777" w:rsidR="005836B8" w:rsidRDefault="00F9764F">
      <w:pPr>
        <w:pStyle w:val="Heading2"/>
        <w:spacing w:before="280" w:after="120"/>
      </w:pPr>
      <w:r>
        <w:rPr>
          <w:b/>
          <w:bCs/>
          <w:color w:val="2E75B6"/>
        </w:rPr>
        <w:t>4.2  Worked Examples</w:t>
      </w:r>
    </w:p>
    <w:p w14:paraId="2CC87451" w14:textId="77777777" w:rsidR="005836B8" w:rsidRDefault="00F9764F">
      <w:pPr>
        <w:spacing w:before="80" w:after="80"/>
      </w:pPr>
      <w:r>
        <w:rPr>
          <w:b/>
          <w:bCs/>
          <w:color w:val="2E75B6"/>
        </w:rPr>
        <w:t>Example A: Comprehensive turnover disclosure with trend analysis</w:t>
      </w:r>
    </w:p>
    <w:p w14:paraId="2D1E7331" w14:textId="77777777" w:rsidR="005836B8" w:rsidRDefault="00F9764F">
      <w:pPr>
        <w:spacing w:before="80" w:after="80"/>
      </w:pPr>
      <w:r>
        <w:rPr>
          <w:color w:val="1A1A1A"/>
          <w:sz w:val="19"/>
          <w:szCs w:val="19"/>
        </w:rPr>
        <w:t>Q6.1 — Current period: Overall: Total 18.2%, Female 21.4%, Male 15.6%. Involuntary: Total 3.1%, Female 3.8%, Male 2.6%. Voluntary: Total 15.1%, Female 17.6%, Male 13.0%. Previous period: Overall: Total 14.7%, Female 16.9%, Male 12.8%. Involuntary: Total 2.3%, Female 2.8%, Male 1.9%. Voluntary: Total 12.4%, Female 14.1%, Male 10.9%. Explanation: “Data covers all permanent and fixed-term employees globally as of 31 Dec 2025. Turnover calculated as number of leavers / average headcount for the period. Voluntary = employee-initiated exits; Involuntary = company-initiated, including redundancies.”</w:t>
      </w:r>
    </w:p>
    <w:p w14:paraId="5EB0D301" w14:textId="77777777" w:rsidR="005836B8" w:rsidRDefault="00F9764F">
      <w:pPr>
        <w:spacing w:before="80" w:after="80"/>
      </w:pPr>
      <w:r>
        <w:rPr>
          <w:color w:val="1A1A1A"/>
          <w:sz w:val="19"/>
          <w:szCs w:val="19"/>
        </w:rPr>
        <w:t>Q6.2: Indefinite/permanent: 14.3%. Fixed-term/temporary: 38.7%.</w:t>
      </w:r>
    </w:p>
    <w:p w14:paraId="400D63EF" w14:textId="77777777" w:rsidR="005836B8" w:rsidRDefault="00F9764F">
      <w:pPr>
        <w:spacing w:before="80" w:after="80"/>
      </w:pPr>
      <w:r>
        <w:rPr>
          <w:color w:val="1A1A1A"/>
          <w:sz w:val="19"/>
          <w:szCs w:val="19"/>
        </w:rPr>
        <w:t>Q6.3: Increased significantly by more than 3%. Numeric field: 23.8%.</w:t>
      </w:r>
    </w:p>
    <w:p w14:paraId="4DC91617" w14:textId="77777777" w:rsidR="005836B8" w:rsidRDefault="00F9764F">
      <w:pPr>
        <w:spacing w:before="80" w:after="80"/>
      </w:pPr>
      <w:r>
        <w:rPr>
          <w:color w:val="1A1A1A"/>
          <w:sz w:val="19"/>
          <w:szCs w:val="19"/>
        </w:rPr>
        <w:t>Q6.3a: “The increase was concentrated in our retail customer-facing roles (female-majority, accounting for 70% of voluntary leavers) and in our Southeast Asian operations following a regional pay benchmarking exercise revealing below-market salaries. The primary driver was voluntary departure for better pay. This compares to a sector average of 16% for retail (our 18.2% is above sector). Response: we launched a global pay benchmarking exercise in Q1 2026, and implemented targeted retention bonuses for SEA retail staff (3,400 employees) in Q4 2025.”</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5836B8" w14:paraId="34392AC8" w14:textId="77777777" w:rsidTr="5425D2EB">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B1C5060" w14:textId="77777777" w:rsidR="005836B8" w:rsidRDefault="00F9764F">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5FC53F1" w14:textId="77777777" w:rsidR="005836B8" w:rsidRDefault="00F9764F">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ED958A7" w14:textId="77777777" w:rsidR="005836B8" w:rsidRDefault="00F9764F">
            <w:pPr>
              <w:jc w:val="center"/>
            </w:pPr>
            <w:r>
              <w:rPr>
                <w:b/>
                <w:bCs/>
                <w:color w:val="FFFFFF"/>
                <w:sz w:val="16"/>
                <w:szCs w:val="16"/>
              </w:rPr>
              <w:t>Calculation</w:t>
            </w:r>
          </w:p>
        </w:tc>
      </w:tr>
      <w:tr w:rsidR="005836B8" w14:paraId="1E1C98A9" w14:textId="77777777" w:rsidTr="5425D2EB">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A2E97A2" w14:textId="77777777" w:rsidR="005836B8" w:rsidRDefault="00F9764F">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E672F09" w14:textId="77777777" w:rsidR="005836B8" w:rsidRDefault="5425D2EB">
            <w:pPr>
              <w:spacing w:before="20" w:after="20"/>
            </w:pPr>
            <w:r w:rsidRPr="5425D2EB">
              <w:rPr>
                <w:color w:val="1A1A1A"/>
                <w:sz w:val="18"/>
                <w:szCs w:val="18"/>
              </w:rPr>
              <w:t>5 (Leading) — AND satisfied: Q6.3 has both dropdown (Increased significantly) AND numeric (23.8%). Q6.3a identifies specific affected worker categories (retail customer-facing, female-majority, SEA operations), key reason (below-market pay), sector comparison (18.2% vs 16% sector average — G2 element), and another influencing factor (pay benchmarking result). Both G2 elements addressed.</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A05A809" w14:textId="77777777" w:rsidR="005836B8" w:rsidRDefault="005836B8">
            <w:pPr>
              <w:spacing w:before="20" w:after="20"/>
            </w:pPr>
          </w:p>
        </w:tc>
      </w:tr>
      <w:tr w:rsidR="005836B8" w14:paraId="1AC7A438" w14:textId="77777777" w:rsidTr="5425D2EB">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4FAB225" w14:textId="77777777" w:rsidR="005836B8" w:rsidRDefault="00F9764F">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C8C7DEA" w14:textId="77777777" w:rsidR="005836B8" w:rsidRDefault="5425D2EB">
            <w:pPr>
              <w:spacing w:before="20" w:after="20"/>
            </w:pPr>
            <w:r w:rsidRPr="5425D2EB">
              <w:rPr>
                <w:color w:val="1A1A1A"/>
                <w:sz w:val="18"/>
                <w:szCs w:val="18"/>
              </w:rPr>
              <w:t>5 (Leading) — AND satisfied: Q6.1 complete for all three turnover types with Female and Male breakdowns for BOTH current AND previous periods, with Explanation covering scope and methodology. Q6.2 complete for both contract types. Q6.3a describes two specific actions (pay benchmarking exercise, retention bonuses for 3,400 SEA staff) in response to the identified change.</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A39BBE3" w14:textId="77777777" w:rsidR="005836B8" w:rsidRDefault="005836B8">
            <w:pPr>
              <w:spacing w:before="20" w:after="20"/>
            </w:pPr>
          </w:p>
        </w:tc>
      </w:tr>
      <w:tr w:rsidR="005836B8" w14:paraId="766EFA3A" w14:textId="77777777" w:rsidTr="5425D2EB">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0C00B5CD" w14:textId="77777777" w:rsidR="005836B8" w:rsidRDefault="00F9764F">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566B2543" w14:textId="77777777" w:rsidR="005836B8" w:rsidRDefault="00F9764F">
            <w:pPr>
              <w:spacing w:before="20" w:after="20"/>
            </w:pPr>
            <w:r>
              <w:rPr>
                <w:b/>
                <w:bCs/>
                <w:color w:val="1A1A1A"/>
                <w:sz w:val="19"/>
                <w:szCs w:val="19"/>
              </w:rPr>
              <w:t>(5 + 5) ÷ 2 = 5.00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A88731E" w14:textId="77777777" w:rsidR="005836B8" w:rsidRDefault="00F9764F">
            <w:pPr>
              <w:spacing w:before="20" w:after="20"/>
            </w:pPr>
            <w:r>
              <w:rPr>
                <w:b/>
                <w:bCs/>
                <w:color w:val="1A1A1A"/>
                <w:sz w:val="19"/>
                <w:szCs w:val="19"/>
              </w:rPr>
              <w:t>Topic Score = 5.00 × 20 = 100 / 100</w:t>
            </w:r>
          </w:p>
        </w:tc>
      </w:tr>
    </w:tbl>
    <w:p w14:paraId="3DDD3E95" w14:textId="77777777" w:rsidR="005836B8" w:rsidRDefault="5425D2EB">
      <w:pPr>
        <w:spacing w:before="80" w:after="60"/>
      </w:pPr>
      <w:r w:rsidRPr="5425D2EB">
        <w:rPr>
          <w:i/>
          <w:iCs/>
          <w:color w:val="666666"/>
          <w:sz w:val="17"/>
          <w:szCs w:val="17"/>
        </w:rPr>
        <w:t>Full marks. Note that the 18.2% turnover rate (above sector average) does not penalise the company — the transparency and depth of analysis is what drives the score, not the rate value itself.</w:t>
      </w:r>
    </w:p>
    <w:p w14:paraId="3097F0F7" w14:textId="77777777" w:rsidR="005836B8" w:rsidRDefault="00F9764F">
      <w:pPr>
        <w:spacing w:before="240" w:after="80"/>
      </w:pPr>
      <w:r>
        <w:rPr>
          <w:b/>
          <w:bCs/>
          <w:color w:val="2E75B6"/>
        </w:rPr>
        <w:t>Example B: Partial disclosure with minimal trend understanding</w:t>
      </w:r>
    </w:p>
    <w:p w14:paraId="21654815" w14:textId="77777777" w:rsidR="005836B8" w:rsidRDefault="00F9764F">
      <w:pPr>
        <w:spacing w:before="80" w:after="80"/>
      </w:pPr>
      <w:r>
        <w:rPr>
          <w:color w:val="1A1A1A"/>
          <w:sz w:val="19"/>
          <w:szCs w:val="19"/>
        </w:rPr>
        <w:t>Q6.1 — Current period only: Overall: Total 12.1%, Female 14.3%, Male 10.2%. Involuntary and Voluntary rows: blank. Previous period: all blank. Explanation: blank.</w:t>
      </w:r>
    </w:p>
    <w:p w14:paraId="612A1741" w14:textId="77777777" w:rsidR="005836B8" w:rsidRDefault="00F9764F">
      <w:pPr>
        <w:spacing w:before="80" w:after="80"/>
      </w:pPr>
      <w:r>
        <w:rPr>
          <w:color w:val="1A1A1A"/>
          <w:sz w:val="19"/>
          <w:szCs w:val="19"/>
        </w:rPr>
        <w:t>Q6.2: Indefinite/permanent: blank. Fixed-term/temporary: blank.</w:t>
      </w:r>
    </w:p>
    <w:p w14:paraId="18E61398" w14:textId="77777777" w:rsidR="005836B8" w:rsidRDefault="00F9764F">
      <w:pPr>
        <w:spacing w:before="80" w:after="80"/>
      </w:pPr>
      <w:r>
        <w:rPr>
          <w:color w:val="1A1A1A"/>
          <w:sz w:val="19"/>
          <w:szCs w:val="19"/>
        </w:rPr>
        <w:t>Q6.3: Remained broadly stable (change below 1%). Numeric field: 0.8%.</w:t>
      </w:r>
    </w:p>
    <w:p w14:paraId="2E0ED31E" w14:textId="77777777" w:rsidR="005836B8" w:rsidRDefault="00F9764F">
      <w:pPr>
        <w:spacing w:before="80" w:after="80"/>
      </w:pPr>
      <w:r>
        <w:rPr>
          <w:color w:val="1A1A1A"/>
          <w:sz w:val="19"/>
          <w:szCs w:val="19"/>
        </w:rPr>
        <w:t>Q6.3a: blank (company interpreted Q6.3a as only applicable when change exceeds stable).</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5836B8" w14:paraId="2B1DB986" w14:textId="77777777" w:rsidTr="5425D2EB">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6D58ACB" w14:textId="77777777" w:rsidR="005836B8" w:rsidRDefault="00F9764F">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1A3852D" w14:textId="77777777" w:rsidR="005836B8" w:rsidRDefault="00F9764F">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975F6F5" w14:textId="77777777" w:rsidR="005836B8" w:rsidRDefault="00F9764F">
            <w:pPr>
              <w:jc w:val="center"/>
            </w:pPr>
            <w:r>
              <w:rPr>
                <w:b/>
                <w:bCs/>
                <w:color w:val="FFFFFF"/>
                <w:sz w:val="16"/>
                <w:szCs w:val="16"/>
              </w:rPr>
              <w:t>Calculation</w:t>
            </w:r>
          </w:p>
        </w:tc>
      </w:tr>
      <w:tr w:rsidR="005836B8" w14:paraId="51713F0E" w14:textId="77777777" w:rsidTr="5425D2EB">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0B2043BB" w14:textId="77777777" w:rsidR="005836B8" w:rsidRDefault="00F9764F">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3733135" w14:textId="77777777" w:rsidR="005836B8" w:rsidRDefault="00F9764F">
            <w:pPr>
              <w:spacing w:before="20" w:after="20"/>
            </w:pPr>
            <w:r>
              <w:rPr>
                <w:color w:val="1A1A1A"/>
                <w:sz w:val="18"/>
                <w:szCs w:val="18"/>
              </w:rPr>
              <w:t>3 (Adequate) — OR-then-AND: Q6.3 has BOTH dropdown (Remained broadly stable) AND numeric (0.8%) — the AND within Q6.3 is satisfied. Q6.3a is blank, which is partially justified given the stable direction — the guidance focuses Q6.3a on cases of change. However, the absence of G2 context (sector comparisons, influencing factors) limits the score. Score 5 requires Q6.3a analysis even for stable turnover.</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1C8F396" w14:textId="77777777" w:rsidR="005836B8" w:rsidRDefault="005836B8">
            <w:pPr>
              <w:spacing w:before="20" w:after="20"/>
            </w:pPr>
          </w:p>
        </w:tc>
      </w:tr>
      <w:tr w:rsidR="005836B8" w14:paraId="1F051A9F" w14:textId="77777777" w:rsidTr="5425D2EB">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4CFA25E" w14:textId="77777777" w:rsidR="005836B8" w:rsidRDefault="00F9764F">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274DF4D4" w14:textId="77777777" w:rsidR="005836B8" w:rsidRDefault="5425D2EB">
            <w:pPr>
              <w:spacing w:before="20" w:after="20"/>
            </w:pPr>
            <w:r w:rsidRPr="5425D2EB">
              <w:rPr>
                <w:color w:val="1A1A1A"/>
                <w:sz w:val="18"/>
                <w:szCs w:val="18"/>
              </w:rPr>
              <w:t>2 (Basic) — Q6.1 current period provides Overall turnover with gender breakdown but Involuntary and Voluntary rows are blank — only 1 of 3 turnover types provided. No previous period data. Q6.2 entirely blank without n/a confirmation. Q6.3a blank. OR: some Action evidence exists (Overall turnover current period) but the incomplete type breakdown and missing Q6.2 prevent score 3.</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2A3D3EC" w14:textId="77777777" w:rsidR="005836B8" w:rsidRDefault="005836B8">
            <w:pPr>
              <w:spacing w:before="20" w:after="20"/>
            </w:pPr>
          </w:p>
        </w:tc>
      </w:tr>
      <w:tr w:rsidR="005836B8" w14:paraId="20D7B574" w14:textId="77777777" w:rsidTr="5425D2EB">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5839CD9" w14:textId="77777777" w:rsidR="005836B8" w:rsidRDefault="00F9764F">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053F0FEA" w14:textId="77777777" w:rsidR="005836B8" w:rsidRDefault="00F9764F">
            <w:pPr>
              <w:spacing w:before="20" w:after="20"/>
            </w:pPr>
            <w:r>
              <w:rPr>
                <w:b/>
                <w:bCs/>
                <w:color w:val="1A1A1A"/>
                <w:sz w:val="19"/>
                <w:szCs w:val="19"/>
              </w:rPr>
              <w:t>(3 + 2) ÷ 2 = 2.50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0BDD7B6" w14:textId="77777777" w:rsidR="005836B8" w:rsidRDefault="00F9764F">
            <w:pPr>
              <w:spacing w:before="20" w:after="20"/>
            </w:pPr>
            <w:r>
              <w:rPr>
                <w:b/>
                <w:bCs/>
                <w:color w:val="1A1A1A"/>
                <w:sz w:val="19"/>
                <w:szCs w:val="19"/>
              </w:rPr>
              <w:t>Topic Score = 2.50 × 20 = 50 / 100</w:t>
            </w:r>
          </w:p>
        </w:tc>
      </w:tr>
    </w:tbl>
    <w:p w14:paraId="3A35C382" w14:textId="77777777" w:rsidR="005836B8" w:rsidRDefault="5425D2EB">
      <w:pPr>
        <w:spacing w:before="80" w:after="60"/>
      </w:pPr>
      <w:r w:rsidRPr="5425D2EB">
        <w:rPr>
          <w:i/>
          <w:iCs/>
          <w:color w:val="666666"/>
          <w:sz w:val="17"/>
          <w:szCs w:val="17"/>
        </w:rPr>
        <w:t>50/100. The company has stable turnover which is a good operational outcome — but the score reflects disclosure quality, not the turnover rate. Key gaps: Involuntary and Voluntary turnover breakdowns missing from Q6.1; Q6.2 entirely blank; no previous period data; Q6.3a blank even though G2 sector comparisons and influencing factors remain relevant for stable turnover. Adding the Involuntary/Voluntary rows and completing Q6.2 would lift Action to 3; adding G2 context to Q6.3a would lift Awareness to 5.</w:t>
      </w:r>
    </w:p>
    <w:sectPr w:rsidR="005836B8">
      <w:headerReference w:type="even" r:id="rId10"/>
      <w:headerReference w:type="default" r:id="rId11"/>
      <w:footerReference w:type="even" r:id="rId12"/>
      <w:footerReference w:type="default" r:id="rId13"/>
      <w:headerReference w:type="first" r:id="rId14"/>
      <w:footerReference w:type="first" r:id="rId15"/>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DD349" w14:textId="77777777" w:rsidR="008B018C" w:rsidRDefault="008B018C" w:rsidP="00C742C7">
      <w:r>
        <w:separator/>
      </w:r>
    </w:p>
  </w:endnote>
  <w:endnote w:type="continuationSeparator" w:id="0">
    <w:p w14:paraId="4EA67660" w14:textId="77777777" w:rsidR="008B018C" w:rsidRDefault="008B018C" w:rsidP="00C74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24A69" w14:textId="77777777" w:rsidR="00C742C7" w:rsidRDefault="00C742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38EFC" w14:textId="77777777" w:rsidR="00C742C7" w:rsidRDefault="00C742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24441" w14:textId="77777777" w:rsidR="00C742C7" w:rsidRDefault="00C742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53650" w14:textId="77777777" w:rsidR="008B018C" w:rsidRDefault="008B018C" w:rsidP="00C742C7">
      <w:r>
        <w:separator/>
      </w:r>
    </w:p>
  </w:footnote>
  <w:footnote w:type="continuationSeparator" w:id="0">
    <w:p w14:paraId="1F24353A" w14:textId="77777777" w:rsidR="008B018C" w:rsidRDefault="008B018C" w:rsidP="00C74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3A0EE" w14:textId="77777777" w:rsidR="00C742C7" w:rsidRDefault="00C742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1682001"/>
      <w:docPartObj>
        <w:docPartGallery w:val="Watermarks"/>
        <w:docPartUnique/>
      </w:docPartObj>
    </w:sdtPr>
    <w:sdtContent>
      <w:p w14:paraId="0E7A8C0B" w14:textId="77777777" w:rsidR="00C742C7" w:rsidRDefault="00C742C7">
        <w:pPr>
          <w:pStyle w:val="Header"/>
        </w:pPr>
        <w:r>
          <w:rPr>
            <w:noProof/>
          </w:rPr>
          <w:pict w14:anchorId="5C22A0E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6" type="#_x0000_t136" style="position:absolute;margin-left:0;margin-top:0;width:412.4pt;height:247.45pt;rotation:315;z-index:-25165516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DF7A3" w14:textId="77777777" w:rsidR="00C742C7" w:rsidRDefault="00C742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17ED2C"/>
    <w:multiLevelType w:val="hybridMultilevel"/>
    <w:tmpl w:val="FFFFFFFF"/>
    <w:lvl w:ilvl="0" w:tplc="9942E3BE">
      <w:start w:val="1"/>
      <w:numFmt w:val="bullet"/>
      <w:lvlText w:val="●"/>
      <w:lvlJc w:val="left"/>
      <w:pPr>
        <w:ind w:left="720" w:hanging="360"/>
      </w:pPr>
    </w:lvl>
    <w:lvl w:ilvl="1" w:tplc="7654EDAC">
      <w:start w:val="1"/>
      <w:numFmt w:val="bullet"/>
      <w:lvlText w:val="○"/>
      <w:lvlJc w:val="left"/>
      <w:pPr>
        <w:ind w:left="1440" w:hanging="360"/>
      </w:pPr>
    </w:lvl>
    <w:lvl w:ilvl="2" w:tplc="9516F1DC">
      <w:start w:val="1"/>
      <w:numFmt w:val="bullet"/>
      <w:lvlText w:val="■"/>
      <w:lvlJc w:val="left"/>
      <w:pPr>
        <w:ind w:left="2160" w:hanging="360"/>
      </w:pPr>
    </w:lvl>
    <w:lvl w:ilvl="3" w:tplc="3F32EFD8">
      <w:start w:val="1"/>
      <w:numFmt w:val="bullet"/>
      <w:lvlText w:val="●"/>
      <w:lvlJc w:val="left"/>
      <w:pPr>
        <w:ind w:left="2880" w:hanging="360"/>
      </w:pPr>
    </w:lvl>
    <w:lvl w:ilvl="4" w:tplc="F606F2FA">
      <w:start w:val="1"/>
      <w:numFmt w:val="bullet"/>
      <w:lvlText w:val="○"/>
      <w:lvlJc w:val="left"/>
      <w:pPr>
        <w:ind w:left="3600" w:hanging="360"/>
      </w:pPr>
    </w:lvl>
    <w:lvl w:ilvl="5" w:tplc="F4DE9958">
      <w:start w:val="1"/>
      <w:numFmt w:val="bullet"/>
      <w:lvlText w:val="■"/>
      <w:lvlJc w:val="left"/>
      <w:pPr>
        <w:ind w:left="4320" w:hanging="360"/>
      </w:pPr>
    </w:lvl>
    <w:lvl w:ilvl="6" w:tplc="5BDA4606">
      <w:start w:val="1"/>
      <w:numFmt w:val="bullet"/>
      <w:lvlText w:val="●"/>
      <w:lvlJc w:val="left"/>
      <w:pPr>
        <w:ind w:left="5040" w:hanging="360"/>
      </w:pPr>
    </w:lvl>
    <w:lvl w:ilvl="7" w:tplc="B4CEE6FC">
      <w:start w:val="1"/>
      <w:numFmt w:val="bullet"/>
      <w:lvlText w:val="●"/>
      <w:lvlJc w:val="left"/>
      <w:pPr>
        <w:ind w:left="5760" w:hanging="360"/>
      </w:pPr>
    </w:lvl>
    <w:lvl w:ilvl="8" w:tplc="115447EA">
      <w:start w:val="1"/>
      <w:numFmt w:val="bullet"/>
      <w:lvlText w:val="●"/>
      <w:lvlJc w:val="left"/>
      <w:pPr>
        <w:ind w:left="6480" w:hanging="360"/>
      </w:pPr>
    </w:lvl>
  </w:abstractNum>
  <w:num w:numId="1" w16cid:durableId="147128813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displayBackgroundShape/>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425D2EB"/>
    <w:rsid w:val="002B409F"/>
    <w:rsid w:val="00581CB2"/>
    <w:rsid w:val="005836B8"/>
    <w:rsid w:val="007B40F6"/>
    <w:rsid w:val="008B018C"/>
    <w:rsid w:val="00B02C86"/>
    <w:rsid w:val="00C742C7"/>
    <w:rsid w:val="00DA5D51"/>
    <w:rsid w:val="00F9764F"/>
    <w:rsid w:val="5425D2E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26F97A"/>
  <w15:docId w15:val="{6BCE350D-B9D8-49B2-B317-92281E2D5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C742C7"/>
    <w:pPr>
      <w:tabs>
        <w:tab w:val="center" w:pos="4513"/>
        <w:tab w:val="right" w:pos="9026"/>
      </w:tabs>
    </w:pPr>
  </w:style>
  <w:style w:type="character" w:customStyle="1" w:styleId="HeaderChar">
    <w:name w:val="Header Char"/>
    <w:basedOn w:val="DefaultParagraphFont"/>
    <w:link w:val="Header"/>
    <w:uiPriority w:val="99"/>
    <w:rsid w:val="00C742C7"/>
    <w:rPr>
      <w:rFonts w:eastAsia="Times New Roman"/>
    </w:rPr>
  </w:style>
  <w:style w:type="paragraph" w:styleId="Footer">
    <w:name w:val="footer"/>
    <w:basedOn w:val="Normal"/>
    <w:link w:val="FooterChar"/>
    <w:uiPriority w:val="99"/>
    <w:unhideWhenUsed/>
    <w:rsid w:val="00C742C7"/>
    <w:pPr>
      <w:tabs>
        <w:tab w:val="center" w:pos="4513"/>
        <w:tab w:val="right" w:pos="9026"/>
      </w:tabs>
    </w:pPr>
  </w:style>
  <w:style w:type="character" w:customStyle="1" w:styleId="FooterChar">
    <w:name w:val="Footer Char"/>
    <w:basedOn w:val="DefaultParagraphFont"/>
    <w:link w:val="Footer"/>
    <w:uiPriority w:val="99"/>
    <w:rsid w:val="00C742C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F722294396894084E00DFA9F6F6037" ma:contentTypeVersion="22" ma:contentTypeDescription="Create a new document." ma:contentTypeScope="" ma:versionID="c3701c230041e9d2d92018f496088b6a">
  <xsd:schema xmlns:xsd="http://www.w3.org/2001/XMLSchema" xmlns:xs="http://www.w3.org/2001/XMLSchema" xmlns:p="http://schemas.microsoft.com/office/2006/metadata/properties" xmlns:ns1="http://schemas.microsoft.com/sharepoint/v3" xmlns:ns2="cca4304b-c649-438f-a5d1-c2f26bdbd233" xmlns:ns3="90e2f44b-3124-4971-a86d-243de5684ae9" targetNamespace="http://schemas.microsoft.com/office/2006/metadata/properties" ma:root="true" ma:fieldsID="63ac87241ded5e0f8f024ebc611c328e" ns1:_="" ns2:_="" ns3:_="">
    <xsd:import namespace="http://schemas.microsoft.com/sharepoint/v3"/>
    <xsd:import namespace="cca4304b-c649-438f-a5d1-c2f26bdbd233"/>
    <xsd:import namespace="90e2f44b-3124-4971-a86d-243de5684a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_Flow_SignoffStatu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4304b-c649-438f-a5d1-c2f26bdbd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3a93e6a-eb94-4f22-847d-80c377548a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e2f44b-3124-4971-a86d-243de5684a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6297a8c-15e9-456d-9ab2-3f4e29740b46}" ma:internalName="TaxCatchAll" ma:showField="CatchAllData" ma:web="90e2f44b-3124-4971-a86d-243de5684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4304b-c649-438f-a5d1-c2f26bdbd233">
      <Terms xmlns="http://schemas.microsoft.com/office/infopath/2007/PartnerControls"/>
    </lcf76f155ced4ddcb4097134ff3c332f>
    <TaxCatchAll xmlns="90e2f44b-3124-4971-a86d-243de5684ae9" xsi:nil="true"/>
    <_ip_UnifiedCompliancePolicyUIAction xmlns="http://schemas.microsoft.com/sharepoint/v3" xsi:nil="true"/>
    <_ip_UnifiedCompliancePolicyProperties xmlns="http://schemas.microsoft.com/sharepoint/v3" xsi:nil="true"/>
    <_Flow_SignoffStatus xmlns="cca4304b-c649-438f-a5d1-c2f26bdbd233" xsi:nil="true"/>
  </documentManagement>
</p:properties>
</file>

<file path=customXml/itemProps1.xml><?xml version="1.0" encoding="utf-8"?>
<ds:datastoreItem xmlns:ds="http://schemas.openxmlformats.org/officeDocument/2006/customXml" ds:itemID="{AF004941-7B3B-4C9E-8579-ED25312E11EC}">
  <ds:schemaRefs>
    <ds:schemaRef ds:uri="http://schemas.microsoft.com/sharepoint/v3/contenttype/forms"/>
  </ds:schemaRefs>
</ds:datastoreItem>
</file>

<file path=customXml/itemProps2.xml><?xml version="1.0" encoding="utf-8"?>
<ds:datastoreItem xmlns:ds="http://schemas.openxmlformats.org/officeDocument/2006/customXml" ds:itemID="{0459CA94-5B19-4604-82EC-7505FB9A07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a4304b-c649-438f-a5d1-c2f26bdbd233"/>
    <ds:schemaRef ds:uri="90e2f44b-3124-4971-a86d-243de5684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35FEAE-94D4-48C9-8FC3-97E92E79BD48}">
  <ds:schemaRefs>
    <ds:schemaRef ds:uri="http://schemas.microsoft.com/office/2006/metadata/properties"/>
    <ds:schemaRef ds:uri="http://schemas.microsoft.com/office/infopath/2007/PartnerControls"/>
    <ds:schemaRef ds:uri="cca4304b-c649-438f-a5d1-c2f26bdbd233"/>
    <ds:schemaRef ds:uri="90e2f44b-3124-4971-a86d-243de5684ae9"/>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2775</Words>
  <Characters>15818</Characters>
  <Application>Microsoft Office Word</Application>
  <DocSecurity>4</DocSecurity>
  <Lines>131</Lines>
  <Paragraphs>37</Paragraphs>
  <ScaleCrop>false</ScaleCrop>
  <Company/>
  <LinksUpToDate>false</LinksUpToDate>
  <CharactersWithSpaces>18556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Arora, Cmran (TR Foundation)</cp:lastModifiedBy>
  <cp:revision>6</cp:revision>
  <dcterms:created xsi:type="dcterms:W3CDTF">2026-07-03T15:11:00Z</dcterms:created>
  <dcterms:modified xsi:type="dcterms:W3CDTF">2026-07-14T07:25:00Z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0x010100F3F722294396894084E00DFA9F6F6037</vt:lpwstr>
  </property>
  <property fmtid="{D5CDD505-2E9C-101B-9397-08002B2CF9AE}" pid="3" name="MediaServiceImageTags">
    <vt:lpwstr/>
  </property>
</Properties>
</file>